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490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default" w:ascii="黑体" w:hAnsi="黑体" w:eastAsia="黑体" w:cs="黑体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spacing w:val="0"/>
          <w:w w:val="100"/>
          <w:sz w:val="32"/>
          <w:szCs w:val="32"/>
          <w:lang w:val="en-US" w:eastAsia="zh-CN"/>
        </w:rPr>
        <w:t>附件3</w:t>
      </w:r>
    </w:p>
    <w:p w14:paraId="781AD2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评分细则</w:t>
      </w:r>
    </w:p>
    <w:p w14:paraId="68FF10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spacing w:val="0"/>
          <w:w w:val="100"/>
          <w:sz w:val="44"/>
          <w:szCs w:val="44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303"/>
        <w:tblOverlap w:val="never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6523"/>
        <w:gridCol w:w="948"/>
      </w:tblGrid>
      <w:tr w14:paraId="4B969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510" w:type="dxa"/>
          </w:tcPr>
          <w:p w14:paraId="471A8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</w:rPr>
              <w:t>项目</w:t>
            </w:r>
          </w:p>
        </w:tc>
        <w:tc>
          <w:tcPr>
            <w:tcW w:w="6523" w:type="dxa"/>
          </w:tcPr>
          <w:p w14:paraId="2245C6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细则</w:t>
            </w:r>
          </w:p>
        </w:tc>
        <w:tc>
          <w:tcPr>
            <w:tcW w:w="948" w:type="dxa"/>
          </w:tcPr>
          <w:p w14:paraId="670B4BB6">
            <w:pPr>
              <w:keepNext w:val="0"/>
              <w:keepLines w:val="0"/>
              <w:pageBreakBefore w:val="0"/>
              <w:widowControl/>
              <w:tabs>
                <w:tab w:val="left" w:pos="3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分值</w:t>
            </w:r>
          </w:p>
        </w:tc>
      </w:tr>
      <w:tr w14:paraId="1FD30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510" w:type="dxa"/>
            <w:vMerge w:val="restart"/>
            <w:vAlign w:val="center"/>
          </w:tcPr>
          <w:p w14:paraId="662989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科学性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（30分）</w:t>
            </w:r>
          </w:p>
        </w:tc>
        <w:tc>
          <w:tcPr>
            <w:tcW w:w="6523" w:type="dxa"/>
            <w:vAlign w:val="center"/>
          </w:tcPr>
          <w:p w14:paraId="2C4315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精准传达口腔创新科技的核心技术、应用场景或临床价值，无科学错误及误导性信息。</w:t>
            </w:r>
          </w:p>
        </w:tc>
        <w:tc>
          <w:tcPr>
            <w:tcW w:w="948" w:type="dxa"/>
            <w:vAlign w:val="center"/>
          </w:tcPr>
          <w:p w14:paraId="1FA5D9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20分</w:t>
            </w:r>
          </w:p>
        </w:tc>
      </w:tr>
      <w:tr w14:paraId="3C68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1510" w:type="dxa"/>
            <w:vMerge w:val="continue"/>
            <w:vAlign w:val="center"/>
          </w:tcPr>
          <w:p w14:paraId="7F03500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 w:firstLine="0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523" w:type="dxa"/>
            <w:vAlign w:val="center"/>
          </w:tcPr>
          <w:p w14:paraId="733DAC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口腔医学术语、科技概念表述规范，引用的数据、案例真实可靠，符合行业标准。</w:t>
            </w:r>
          </w:p>
        </w:tc>
        <w:tc>
          <w:tcPr>
            <w:tcW w:w="948" w:type="dxa"/>
            <w:vAlign w:val="center"/>
          </w:tcPr>
          <w:p w14:paraId="61C031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10分</w:t>
            </w:r>
          </w:p>
        </w:tc>
      </w:tr>
      <w:tr w14:paraId="19E04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10" w:type="dxa"/>
            <w:vMerge w:val="restart"/>
            <w:vAlign w:val="center"/>
          </w:tcPr>
          <w:p w14:paraId="7015B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创意性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（25分）</w:t>
            </w:r>
          </w:p>
        </w:tc>
        <w:tc>
          <w:tcPr>
            <w:tcW w:w="6523" w:type="dxa"/>
            <w:vAlign w:val="center"/>
          </w:tcPr>
          <w:p w14:paraId="6DB7AC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以独特视角诠释“科技赋能口腔健康”，避免同质化表达，能引发观众对口腔新科技的好奇与关注。</w:t>
            </w:r>
          </w:p>
        </w:tc>
        <w:tc>
          <w:tcPr>
            <w:tcW w:w="948" w:type="dxa"/>
            <w:vAlign w:val="center"/>
          </w:tcPr>
          <w:p w14:paraId="6B342B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15分</w:t>
            </w:r>
          </w:p>
        </w:tc>
      </w:tr>
      <w:tr w14:paraId="00260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1510" w:type="dxa"/>
            <w:vMerge w:val="continue"/>
            <w:tcBorders>
              <w:bottom w:val="single" w:color="auto" w:sz="4" w:space="0"/>
            </w:tcBorders>
            <w:vAlign w:val="center"/>
          </w:tcPr>
          <w:p w14:paraId="62DE5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523" w:type="dxa"/>
            <w:vAlign w:val="center"/>
          </w:tcPr>
          <w:p w14:paraId="7EE9B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构图、视觉元素组合或表现形式具有创意，增强海报的吸引力与记忆点。</w:t>
            </w:r>
          </w:p>
        </w:tc>
        <w:tc>
          <w:tcPr>
            <w:tcW w:w="948" w:type="dxa"/>
            <w:vAlign w:val="center"/>
          </w:tcPr>
          <w:p w14:paraId="1F595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10分</w:t>
            </w:r>
          </w:p>
        </w:tc>
      </w:tr>
      <w:tr w14:paraId="7B116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5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AA4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主题契合（25分）</w:t>
            </w:r>
          </w:p>
        </w:tc>
        <w:tc>
          <w:tcPr>
            <w:tcW w:w="6523" w:type="dxa"/>
            <w:tcBorders>
              <w:left w:val="single" w:color="auto" w:sz="4" w:space="0"/>
            </w:tcBorders>
            <w:vAlign w:val="center"/>
          </w:tcPr>
          <w:p w14:paraId="695B300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紧密围绕“科技赋能 微笑未来”主题，突出“口腔创新新科技”核心，无偏离主题的内容。</w:t>
            </w:r>
          </w:p>
        </w:tc>
        <w:tc>
          <w:tcPr>
            <w:tcW w:w="948" w:type="dxa"/>
            <w:vAlign w:val="center"/>
          </w:tcPr>
          <w:p w14:paraId="22B6695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15分</w:t>
            </w:r>
          </w:p>
        </w:tc>
      </w:tr>
      <w:tr w14:paraId="1B270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5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F12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6523" w:type="dxa"/>
            <w:tcBorders>
              <w:left w:val="single" w:color="auto" w:sz="4" w:space="0"/>
            </w:tcBorders>
            <w:vAlign w:val="center"/>
          </w:tcPr>
          <w:p w14:paraId="68570F4A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能通过设计传递口腔健康的积极理念，引发观众对“微笑未来”的美好联想，强化主题共鸣。</w:t>
            </w:r>
          </w:p>
        </w:tc>
        <w:tc>
          <w:tcPr>
            <w:tcW w:w="948" w:type="dxa"/>
            <w:vAlign w:val="center"/>
          </w:tcPr>
          <w:p w14:paraId="34EB394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</w:t>
            </w:r>
          </w:p>
        </w:tc>
      </w:tr>
      <w:tr w14:paraId="640C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A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美观性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  <w:t>（20分）</w:t>
            </w:r>
          </w:p>
        </w:tc>
        <w:tc>
          <w:tcPr>
            <w:tcW w:w="6523" w:type="dxa"/>
            <w:tcBorders>
              <w:left w:val="single" w:color="auto" w:sz="4" w:space="0"/>
            </w:tcBorders>
            <w:vAlign w:val="center"/>
          </w:tcPr>
          <w:p w14:paraId="7F40E74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画面整体富有美感，细节处理精致，设计风格统一，通过视觉效果提升海报的艺术感染力。</w:t>
            </w:r>
          </w:p>
        </w:tc>
        <w:tc>
          <w:tcPr>
            <w:tcW w:w="948" w:type="dxa"/>
            <w:vAlign w:val="center"/>
          </w:tcPr>
          <w:p w14:paraId="01162CC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cs="仿宋_GB2312"/>
                <w:i w:val="0"/>
                <w:iCs w:val="0"/>
                <w:caps w:val="0"/>
                <w:color w:val="191919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20分</w:t>
            </w:r>
          </w:p>
        </w:tc>
      </w:tr>
      <w:tr w14:paraId="45ED1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33" w:type="dxa"/>
            <w:gridSpan w:val="2"/>
          </w:tcPr>
          <w:p w14:paraId="4E0E4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</w:rPr>
              <w:t>合计</w:t>
            </w:r>
          </w:p>
        </w:tc>
        <w:tc>
          <w:tcPr>
            <w:tcW w:w="948" w:type="dxa"/>
            <w:vAlign w:val="center"/>
          </w:tcPr>
          <w:p w14:paraId="75128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i w:val="0"/>
                <w:spacing w:val="0"/>
                <w:w w:val="100"/>
                <w:sz w:val="28"/>
                <w:szCs w:val="28"/>
                <w:lang w:val="en-US" w:eastAsia="zh-CN"/>
              </w:rPr>
              <w:t>100分</w:t>
            </w:r>
          </w:p>
        </w:tc>
      </w:tr>
    </w:tbl>
    <w:p w14:paraId="49CC2631">
      <w:pPr>
        <w:keepNext w:val="0"/>
        <w:keepLines w:val="0"/>
        <w:pageBreakBefore w:val="0"/>
        <w:widowControl w:val="0"/>
        <w:tabs>
          <w:tab w:val="left" w:pos="5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lang w:val="en-US" w:eastAsia="zh-CN"/>
        </w:rPr>
      </w:pPr>
      <w:bookmarkStart w:id="0" w:name="_GoBack"/>
      <w:bookmarkEnd w:id="0"/>
    </w:p>
    <w:sectPr>
      <w:pgSz w:w="11906" w:h="16838"/>
      <w:pgMar w:top="1474" w:right="1474" w:bottom="1474" w:left="1587" w:header="851" w:footer="1587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00000000"/>
    <w:rsid w:val="04837BF7"/>
    <w:rsid w:val="091E4179"/>
    <w:rsid w:val="0A7B4003"/>
    <w:rsid w:val="109A20CE"/>
    <w:rsid w:val="1FDB6ED9"/>
    <w:rsid w:val="20451B9D"/>
    <w:rsid w:val="21B45CE0"/>
    <w:rsid w:val="233F27E9"/>
    <w:rsid w:val="23B51EDC"/>
    <w:rsid w:val="240C49E0"/>
    <w:rsid w:val="2B8C0380"/>
    <w:rsid w:val="2BCA3E5D"/>
    <w:rsid w:val="2CDF02EE"/>
    <w:rsid w:val="38427463"/>
    <w:rsid w:val="3B721602"/>
    <w:rsid w:val="41F63994"/>
    <w:rsid w:val="5ABE26ED"/>
    <w:rsid w:val="5CE82BAC"/>
    <w:rsid w:val="60B67C17"/>
    <w:rsid w:val="67183403"/>
    <w:rsid w:val="76484B9C"/>
    <w:rsid w:val="7AC13CF3"/>
    <w:rsid w:val="7E21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2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343</Characters>
  <Lines>0</Lines>
  <Paragraphs>0</Paragraphs>
  <TotalTime>6</TotalTime>
  <ScaleCrop>false</ScaleCrop>
  <LinksUpToDate>false</LinksUpToDate>
  <CharactersWithSpaces>344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2022-06-08T17:10:00Z</dcterms:created>
  <dc:creator>忘川</dc:creator>
  <cp:lastModifiedBy>唐哲涵</cp:lastModifiedBy>
  <dcterms:modified xsi:type="dcterms:W3CDTF">2025-11-24T06:27:29Z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4D4CD46B07514FF29D8C75F3057B6EAC_13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